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 w:type="textWrapping" w:clear="all"/>
        <w:t xml:space="preserve">к проекту постановления Правительства Республики Хакасия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«О 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предоставления субсидии из республиканского бюджета Республики Хакасия некоммерческим организациям в целях финансового обеспечения затрат на организацию работы по социальному сопровождению семей с детьми-инвалидами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утвержденный постановлением Правительства Республики Хакасия от 06.11.2024 № 664</w:t>
      </w:r>
      <w:r>
        <w:rPr>
          <w:sz w:val="26"/>
          <w:szCs w:val="26"/>
        </w:rPr>
        <w:t xml:space="preserve">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73"/>
        <w:tabs>
          <w:tab w:val="left" w:pos="0" w:leader="none"/>
        </w:tabs>
        <w:ind w:right="-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 Предмет правового регулирования: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редметом правового регулирования проекта постановления Правительства Республики Хакасия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« О 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предоставления субсидии из республиканского бюджета Республики Хакасия некоммерческим организациям в целях финансового обеспечения затрат на организацию работы по социальному сопровождению семей с детьми-инвалидами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утвержденный постановлением Правительства Республики Хакасия от 06.11.2024 № 664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являются правоотношения, возникающие при </w:t>
      </w:r>
      <w:r>
        <w:rPr>
          <w:rFonts w:ascii="Times New Roman" w:hAnsi="Times New Roman" w:eastAsia="Times New Roman" w:cs="Times New Roman"/>
          <w:bCs/>
          <w:sz w:val="26"/>
          <w:szCs w:val="26"/>
          <w:shd w:val="clear" w:color="auto" w:fill="ffffff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некоммерческим организациям,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bidi="ru-RU"/>
        </w:rPr>
        <w:t xml:space="preserve">некоммерческим организациям,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созданным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организационно-правовой форме общественной организации (объединения), осуществляющим деятельность на территории Республики Хакасия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в целях финансо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вого обеспечения затрат на организацию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bidi="ru-RU"/>
        </w:rPr>
        <w:t xml:space="preserve">работы по социальному сопровождению семей с детьми-инвалидами.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вступлением в силу положений </w:t>
      </w:r>
      <w:hyperlink r:id="rId10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бюджетных субсидий, в том числе грантов в форм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постановление Правительства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от 25.</w:t>
      </w:r>
      <w:r>
        <w:rPr>
          <w:rFonts w:ascii="Times New Roman" w:hAnsi="Times New Roman" w:cs="Times New Roman"/>
          <w:sz w:val="26"/>
          <w:szCs w:val="26"/>
        </w:rPr>
        <w:t xml:space="preserve">10.2023 </w:t>
      </w:r>
      <w:r>
        <w:rPr>
          <w:rFonts w:ascii="Times New Roman" w:hAnsi="Times New Roman" w:eastAsia="Calibri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Calibri" w:cs="Times New Roman"/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 Характеристика основных положений проекта постановления: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Внесение изменений в Порядок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hyperlink r:id="rId11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части предоставления грантов в форме субсидий некоммерческим организациям.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>
        <w:rPr>
          <w:sz w:val="26"/>
          <w:szCs w:val="26"/>
        </w:rPr>
        <w:br/>
        <w:tab/>
      </w:r>
      <w:bookmarkStart w:id="0" w:name="undefined"/>
      <w:bookmarkEnd w:id="0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виду того, что постановлением Правительства Российской Федерации от 25.10.2023 </w:t>
      </w:r>
      <w:r>
        <w:rPr>
          <w:rFonts w:eastAsia="Calibri"/>
          <w:sz w:val="26"/>
          <w:szCs w:val="26"/>
        </w:rPr>
        <w:t xml:space="preserve">№</w:t>
      </w:r>
      <w:r>
        <w:rPr>
          <w:sz w:val="26"/>
          <w:szCs w:val="26"/>
        </w:rPr>
        <w:t xml:space="preserve"> 1782 утверждено предоставление субсидий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индивидуальным предпринимателям </w:t>
      </w:r>
      <w:r>
        <w:rPr>
          <w:rFonts w:eastAsia="Calibri"/>
          <w:sz w:val="26"/>
          <w:szCs w:val="26"/>
        </w:rPr>
        <w:t xml:space="preserve">и проведение отбор</w:t>
      </w:r>
      <w:r>
        <w:rPr>
          <w:rFonts w:eastAsia="Calibri"/>
          <w:sz w:val="26"/>
          <w:szCs w:val="26"/>
        </w:rPr>
        <w:t xml:space="preserve">а</w:t>
      </w:r>
      <w:r>
        <w:rPr>
          <w:rFonts w:eastAsia="Calibri"/>
          <w:sz w:val="26"/>
          <w:szCs w:val="26"/>
        </w:rPr>
        <w:t xml:space="preserve"> получателей указанных субсидий, </w:t>
      </w:r>
      <w:r>
        <w:rPr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Электронный бюджет</w:t>
      </w:r>
      <w:r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проект постановления является эффективным и достаточным решением для внесения изменений.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реализация постановления не предполагает каких-либо социально-экономических последствий.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Информация о соблюдении порядка принятия проекта постановления: действующим законодательством не предусмотрена специальная процедура принятия данного проекта нормативного правового 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6"/>
        <w:tabs>
          <w:tab w:val="left" w:pos="1134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rFonts w:ascii="Times New Roman" w:hAnsi="Times New Roman"/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Times New Roman" w:hAnsi="Times New Roman"/>
          <w:sz w:val="26"/>
          <w:szCs w:val="26"/>
        </w:rPr>
        <w:t xml:space="preserve">Проект постановления подлежит </w:t>
      </w:r>
      <w:r>
        <w:rPr>
          <w:rFonts w:ascii="Times New Roman" w:hAnsi="Times New Roman"/>
          <w:sz w:val="26"/>
          <w:szCs w:val="26"/>
        </w:rPr>
        <w:t xml:space="preserve">оценке регулирующего воздействия, так как затрагивает деятельность субъектов предпринимательской и инвестиционной деятельности.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6"/>
        <w:tabs>
          <w:tab w:val="left" w:pos="1134" w:leader="none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     Т.Н. Раменская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1134" w:left="1701" w:header="84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ohit Devanagari">
    <w:panose1 w:val="02020603050405020303"/>
  </w:font>
  <w:font w:name="Source Han Sans CN Regular">
    <w:panose1 w:val="02020603050405020303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7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4"/>
    <w:uiPriority w:val="10"/>
    <w:rPr>
      <w:sz w:val="48"/>
      <w:szCs w:val="48"/>
    </w:rPr>
  </w:style>
  <w:style w:type="character" w:styleId="685">
    <w:name w:val="Subtitle Char"/>
    <w:basedOn w:val="700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rPr>
      <w:sz w:val="24"/>
      <w:szCs w:val="24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ind w:left="720"/>
      <w:contextualSpacing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8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3" w:customStyle="1">
    <w:name w:val="Header Char"/>
    <w:uiPriority w:val="99"/>
  </w:style>
  <w:style w:type="paragraph" w:styleId="724">
    <w:name w:val="Footer"/>
    <w:basedOn w:val="690"/>
    <w:link w:val="87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5" w:customStyle="1">
    <w:name w:val="Footer Char"/>
    <w:uiPriority w:val="99"/>
  </w:style>
  <w:style w:type="paragraph" w:styleId="726">
    <w:name w:val="Caption"/>
    <w:basedOn w:val="690"/>
    <w:next w:val="69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spacing w:after="57"/>
      <w:ind w:left="283"/>
    </w:pPr>
  </w:style>
  <w:style w:type="paragraph" w:styleId="863">
    <w:name w:val="toc 3"/>
    <w:basedOn w:val="690"/>
    <w:next w:val="690"/>
    <w:uiPriority w:val="39"/>
    <w:unhideWhenUsed/>
    <w:pPr>
      <w:spacing w:after="57"/>
      <w:ind w:left="567"/>
    </w:pPr>
  </w:style>
  <w:style w:type="paragraph" w:styleId="864">
    <w:name w:val="toc 4"/>
    <w:basedOn w:val="690"/>
    <w:next w:val="690"/>
    <w:uiPriority w:val="39"/>
    <w:unhideWhenUsed/>
    <w:pPr>
      <w:spacing w:after="57"/>
      <w:ind w:left="850"/>
    </w:pPr>
  </w:style>
  <w:style w:type="paragraph" w:styleId="865">
    <w:name w:val="toc 5"/>
    <w:basedOn w:val="690"/>
    <w:next w:val="690"/>
    <w:uiPriority w:val="39"/>
    <w:unhideWhenUsed/>
    <w:pPr>
      <w:spacing w:after="57"/>
      <w:ind w:left="1134"/>
    </w:pPr>
  </w:style>
  <w:style w:type="paragraph" w:styleId="866">
    <w:name w:val="toc 6"/>
    <w:basedOn w:val="690"/>
    <w:next w:val="690"/>
    <w:uiPriority w:val="39"/>
    <w:unhideWhenUsed/>
    <w:pPr>
      <w:spacing w:after="57"/>
      <w:ind w:left="1417"/>
    </w:pPr>
  </w:style>
  <w:style w:type="paragraph" w:styleId="867">
    <w:name w:val="toc 7"/>
    <w:basedOn w:val="690"/>
    <w:next w:val="690"/>
    <w:uiPriority w:val="39"/>
    <w:unhideWhenUsed/>
    <w:pPr>
      <w:spacing w:after="57"/>
      <w:ind w:left="1701"/>
    </w:pPr>
  </w:style>
  <w:style w:type="paragraph" w:styleId="868">
    <w:name w:val="toc 8"/>
    <w:basedOn w:val="690"/>
    <w:next w:val="690"/>
    <w:uiPriority w:val="39"/>
    <w:unhideWhenUsed/>
    <w:pPr>
      <w:spacing w:after="57"/>
      <w:ind w:left="1984"/>
    </w:pPr>
  </w:style>
  <w:style w:type="paragraph" w:styleId="869">
    <w:name w:val="toc 9"/>
    <w:basedOn w:val="690"/>
    <w:next w:val="690"/>
    <w:uiPriority w:val="39"/>
    <w:unhideWhenUsed/>
    <w:pPr>
      <w:spacing w:after="57"/>
      <w:ind w:left="2268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paragraph" w:styleId="872">
    <w:name w:val="Body Text"/>
    <w:basedOn w:val="690"/>
    <w:link w:val="879"/>
    <w:pPr>
      <w:jc w:val="both"/>
    </w:pPr>
    <w:rPr>
      <w:sz w:val="26"/>
      <w:szCs w:val="20"/>
    </w:rPr>
  </w:style>
  <w:style w:type="paragraph" w:styleId="873" w:customStyle="1">
    <w:name w:val="ConsPlusTitle"/>
    <w:rPr>
      <w:b/>
      <w:bCs/>
      <w:sz w:val="26"/>
      <w:szCs w:val="26"/>
      <w:lang w:eastAsia="ru-RU"/>
    </w:rPr>
  </w:style>
  <w:style w:type="character" w:styleId="874" w:customStyle="1">
    <w:name w:val="staff-top-vac"/>
  </w:style>
  <w:style w:type="paragraph" w:styleId="875">
    <w:name w:val="Balloon Text"/>
    <w:basedOn w:val="690"/>
    <w:link w:val="876"/>
    <w:rPr>
      <w:rFonts w:ascii="Tahoma" w:hAnsi="Tahoma"/>
      <w:sz w:val="16"/>
      <w:szCs w:val="16"/>
      <w:lang w:val="en-US" w:eastAsia="en-US"/>
    </w:rPr>
  </w:style>
  <w:style w:type="character" w:styleId="876" w:customStyle="1">
    <w:name w:val="Текст выноски Знак"/>
    <w:link w:val="875"/>
    <w:rPr>
      <w:rFonts w:ascii="Tahoma" w:hAnsi="Tahoma" w:cs="Tahoma"/>
      <w:sz w:val="16"/>
      <w:szCs w:val="16"/>
    </w:rPr>
  </w:style>
  <w:style w:type="character" w:styleId="877" w:customStyle="1">
    <w:name w:val="Верхний колонтитул Знак"/>
    <w:link w:val="722"/>
    <w:uiPriority w:val="99"/>
    <w:rPr>
      <w:sz w:val="24"/>
      <w:szCs w:val="24"/>
    </w:rPr>
  </w:style>
  <w:style w:type="character" w:styleId="878" w:customStyle="1">
    <w:name w:val="Нижний колонтитул Знак"/>
    <w:link w:val="724"/>
    <w:rPr>
      <w:sz w:val="24"/>
      <w:szCs w:val="24"/>
    </w:rPr>
  </w:style>
  <w:style w:type="character" w:styleId="879" w:customStyle="1">
    <w:name w:val="Основной текст Знак"/>
    <w:link w:val="872"/>
    <w:rPr>
      <w:sz w:val="26"/>
    </w:rPr>
  </w:style>
  <w:style w:type="character" w:styleId="880">
    <w:name w:val="annotation reference"/>
    <w:rPr>
      <w:sz w:val="16"/>
      <w:szCs w:val="16"/>
    </w:rPr>
  </w:style>
  <w:style w:type="paragraph" w:styleId="881">
    <w:name w:val="annotation text"/>
    <w:basedOn w:val="690"/>
    <w:link w:val="882"/>
    <w:rPr>
      <w:sz w:val="20"/>
      <w:szCs w:val="20"/>
    </w:rPr>
  </w:style>
  <w:style w:type="character" w:styleId="882" w:customStyle="1">
    <w:name w:val="Текст примечания Знак"/>
    <w:basedOn w:val="700"/>
    <w:link w:val="881"/>
  </w:style>
  <w:style w:type="paragraph" w:styleId="883">
    <w:name w:val="annotation subject"/>
    <w:basedOn w:val="881"/>
    <w:next w:val="881"/>
    <w:link w:val="884"/>
    <w:rPr>
      <w:b/>
      <w:bCs/>
    </w:rPr>
  </w:style>
  <w:style w:type="character" w:styleId="884" w:customStyle="1">
    <w:name w:val="Тема примечания Знак"/>
    <w:link w:val="883"/>
    <w:rPr>
      <w:b/>
      <w:bCs/>
    </w:rPr>
  </w:style>
  <w:style w:type="paragraph" w:styleId="885">
    <w:name w:val="Revision"/>
    <w:hidden/>
    <w:uiPriority w:val="99"/>
    <w:semiHidden/>
    <w:rPr>
      <w:sz w:val="24"/>
      <w:szCs w:val="24"/>
      <w:lang w:eastAsia="ru-RU"/>
    </w:rPr>
  </w:style>
  <w:style w:type="paragraph" w:styleId="886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lang w:eastAsia="ru-RU"/>
    </w:rPr>
  </w:style>
  <w:style w:type="paragraph" w:styleId="887" w:customStyle="1">
    <w:name w:val="Text body"/>
    <w:basedOn w:val="690"/>
    <w:pPr>
      <w:widowControl w:val="off"/>
      <w:jc w:val="both"/>
    </w:pPr>
    <w:rPr>
      <w:rFonts w:ascii="PT Astra Serif" w:hAnsi="PT Astra Serif" w:eastAsia="Source Han Sans CN Regular" w:cs="Lohit Devanagari"/>
      <w:sz w:val="28"/>
    </w:rPr>
  </w:style>
  <w:style w:type="paragraph" w:styleId="888">
    <w:name w:val="Normal (Web)"/>
    <w:basedOn w:val="690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DAC659DDB9BB6CB62ACDE86DE8ADBEC75005C39DD0E9DB7AD114C035196833BDAFEF4E21658150CFCFA89F801k3U9C" TargetMode="External"/><Relationship Id="rId11" Type="http://schemas.openxmlformats.org/officeDocument/2006/relationships/hyperlink" Target="consultantplus://offline/ref=1DAC659DDB9BB6CB62ACDE86DE8ADBEC75005C39DD0E9DB7AD114C035196833BDAFEF4E21658150CFCFA89F801k3U9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lastModifiedBy>popova104-2</cp:lastModifiedBy>
  <cp:revision>16</cp:revision>
  <dcterms:created xsi:type="dcterms:W3CDTF">2024-10-07T10:41:00Z</dcterms:created>
  <dcterms:modified xsi:type="dcterms:W3CDTF">2025-03-14T05:59:35Z</dcterms:modified>
  <cp:version>1048576</cp:version>
</cp:coreProperties>
</file>